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Статья 10. Введение в действие настоящего Закона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опубликования.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г. Душанбе  5 марта 2007 года №240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МАДЖЛИСИ НАМОЯНДАГОН МАДЖЛИСИ ОЛИ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Закона Республики Таджикистан "Об  ответственности 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потраву посевов и повреждение сельскохозяйственных культур,  тутовника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и других насаждений и зарослей кустарников"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 Таджикистан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Закон  Республики  Таджикистан  "Об  ответственности  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потраву посевов и повреждение сельскохозяйственных культур,  тутовника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и других насаждений и зарослей  кустарника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 C. ХАЙРУЛЛОЕВ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20 декабря 2006 года №431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О Законе Республики Таджикистан "Об  ответственности  за  потраву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посевов и повреждение сельскохозяйственных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культур, тутовника и других насаждений и зарослей кустарников"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Республики Таджикистан  "Об  ответственности 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потраву посевов и повреждение сельскохозяйственных культур,  тутовника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и других насаждений и зарослей кустарников",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Оли Республики Таджикистан постановляет: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 Республики  Таджикистан  "Об  ответственности  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потраву посевов и повреждение сельскохозяйственных культур,  тутовника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>и других насаждений и зарослей кустарников".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</w:t>
      </w:r>
      <w:proofErr w:type="spellStart"/>
      <w:r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</w:t>
      </w:r>
      <w:proofErr w:type="gramStart"/>
      <w:r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sz w:val="20"/>
          <w:szCs w:val="20"/>
        </w:rPr>
        <w:t>ушанбе, 22 февраля 2007 года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№282</w:t>
      </w:r>
    </w:p>
    <w:p w:rsidR="00DA5AD8" w:rsidRDefault="00DA5AD8" w:rsidP="00DA5AD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5AD8" w:rsidRDefault="00DA5AD8" w:rsidP="00DA5AD8">
      <w:pPr>
        <w:rPr>
          <w:sz w:val="20"/>
          <w:szCs w:val="20"/>
        </w:rPr>
      </w:pPr>
    </w:p>
    <w:p w:rsidR="00EA3515" w:rsidRDefault="00EA3515"/>
    <w:sectPr w:rsidR="00EA3515" w:rsidSect="00A0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525"/>
    <w:rsid w:val="00A07CFB"/>
    <w:rsid w:val="00A52525"/>
    <w:rsid w:val="00DA5AD8"/>
    <w:rsid w:val="00EA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2013-04-29T03:07:00Z</dcterms:created>
  <dcterms:modified xsi:type="dcterms:W3CDTF">2013-04-29T03:07:00Z</dcterms:modified>
</cp:coreProperties>
</file>